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DESEÑO E REUTILIZACIÓN</w:t>
      </w:r>
    </w:p>
    <w:p>
      <w:pPr>
        <w:pStyle w:val="Title"/>
      </w:pPr>
      <w:r>
        <w:t>Guía do sistema visual educativo</w:t>
      </w:r>
    </w:p>
    <w:p>
      <w:pPr>
        <w:pStyle w:val="Subtitle"/>
      </w:pPr>
      <w:r>
        <w:t>[Materia] · [Nivel e grupo] · Unidade [00]</w:t>
      </w:r>
    </w:p>
    <w:p>
      <w:pPr>
        <w:pStyle w:val="Heading1"/>
      </w:pPr>
      <w:r>
        <w:t>Un sistema visual coherente</w:t>
      </w:r>
    </w:p>
    <w:p>
      <w:r>
        <w:t>Estes modelos combinan xerarquía tipográfica, espazo en branco e cores con significado. As caixas inclúen unha etiqueta escrita para que a información non dependa só da cor.</w:t>
      </w:r>
    </w:p>
    <w:p>
      <w:pPr>
        <w:pStyle w:val="Heading1"/>
      </w:pPr>
      <w:r>
        <w:t>Catro cores de base</w:t>
      </w:r>
    </w:p>
    <w:p>
      <w:r>
        <w:t>Primaria fresca #2563EB. Texto escuro #172033. Fondo limpo #F8FAFC. Superficie branca #FFFFFF. O branco é a cuarta cor de base; as cores semánticas amplían a paleta.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36"/>
            <w:tcBorders>
              <w:top w:val="nil" w:sz="24" w:color="2563EB"/>
              <w:bottom w:val="nil" w:sz="24" w:color="2563EB"/>
              <w:right w:val="nil" w:sz="24" w:color="2563EB"/>
              <w:left w:val="single" w:sz="24" w:color="2563EB"/>
            </w:tcBorders>
            <w:shd w:fill="EFF6FF"/>
            <w:tcMar>
              <w:top w:w="150" w:type="dxa"/>
              <w:bottom w:w="150" w:type="dxa"/>
              <w:left w:w="220" w:type="dxa"/>
              <w:right w:w="220" w:type="dxa"/>
            </w:tcMar>
          </w:tcPr>
          <w:p>
            <w:pPr>
              <w:spacing w:after="100"/>
            </w:pPr>
            <w:r>
              <w:rPr>
                <w:b/>
                <w:color w:val="2563EB"/>
                <w:sz w:val="20"/>
              </w:rPr>
              <w:t>NOTA</w:t>
            </w:r>
          </w:p>
          <w:p>
            <w:pPr>
              <w:spacing w:after="0"/>
            </w:pPr>
            <w:r>
              <w:t>Información e definición · Acento #2563EB · Fondo #EFF6FF.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36"/>
            <w:tcBorders>
              <w:top w:val="nil" w:sz="24" w:color="6D28D9"/>
              <w:bottom w:val="nil" w:sz="24" w:color="6D28D9"/>
              <w:right w:val="nil" w:sz="24" w:color="6D28D9"/>
              <w:left w:val="single" w:sz="24" w:color="6D28D9"/>
            </w:tcBorders>
            <w:shd w:fill="F5F3FF"/>
            <w:tcMar>
              <w:top w:w="150" w:type="dxa"/>
              <w:bottom w:w="150" w:type="dxa"/>
              <w:left w:w="220" w:type="dxa"/>
              <w:right w:w="220" w:type="dxa"/>
            </w:tcMar>
          </w:tcPr>
          <w:p>
            <w:pPr>
              <w:spacing w:after="100"/>
            </w:pPr>
            <w:r>
              <w:rPr>
                <w:b/>
                <w:color w:val="6D28D9"/>
                <w:sz w:val="20"/>
              </w:rPr>
              <w:t>CONSELLO</w:t>
            </w:r>
          </w:p>
          <w:p>
            <w:pPr>
              <w:spacing w:after="0"/>
            </w:pPr>
            <w:r>
              <w:t>Consello ou estratexia · Acento #6D28D9 · Fondo #F5F3FF.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36"/>
            <w:tcBorders>
              <w:top w:val="nil" w:sz="24" w:color="047857"/>
              <w:bottom w:val="nil" w:sz="24" w:color="047857"/>
              <w:right w:val="nil" w:sz="24" w:color="047857"/>
              <w:left w:val="single" w:sz="24" w:color="047857"/>
            </w:tcBorders>
            <w:shd w:fill="ECFDF5"/>
            <w:tcMar>
              <w:top w:w="150" w:type="dxa"/>
              <w:bottom w:w="150" w:type="dxa"/>
              <w:left w:w="220" w:type="dxa"/>
              <w:right w:w="220" w:type="dxa"/>
            </w:tcMar>
          </w:tcPr>
          <w:p>
            <w:pPr>
              <w:spacing w:after="100"/>
            </w:pPr>
            <w:r>
              <w:rPr>
                <w:b/>
                <w:color w:val="047857"/>
                <w:sz w:val="20"/>
              </w:rPr>
              <w:t>COMPROBACIÓN</w:t>
            </w:r>
          </w:p>
          <w:p>
            <w:pPr>
              <w:spacing w:after="0"/>
            </w:pPr>
            <w:r>
              <w:t>Éxito ou comprobación · Acento #047857 · Fondo #ECFDF5.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36"/>
            <w:tcBorders>
              <w:top w:val="nil" w:sz="24" w:color="B45309"/>
              <w:bottom w:val="nil" w:sz="24" w:color="B45309"/>
              <w:right w:val="nil" w:sz="24" w:color="B45309"/>
              <w:left w:val="single" w:sz="24" w:color="B45309"/>
            </w:tcBorders>
            <w:shd w:fill="FFFBEB"/>
            <w:tcMar>
              <w:top w:w="150" w:type="dxa"/>
              <w:bottom w:w="150" w:type="dxa"/>
              <w:left w:w="220" w:type="dxa"/>
              <w:right w:w="220" w:type="dxa"/>
            </w:tcMar>
          </w:tcPr>
          <w:p>
            <w:pPr>
              <w:spacing w:after="100"/>
            </w:pPr>
            <w:r>
              <w:rPr>
                <w:b/>
                <w:color w:val="B45309"/>
                <w:sz w:val="20"/>
              </w:rPr>
              <w:t>PRECAUCIÓN</w:t>
            </w:r>
          </w:p>
          <w:p>
            <w:pPr>
              <w:spacing w:after="0"/>
            </w:pPr>
            <w:r>
              <w:t>Atención ou precaución · Acento #B45309 · Fondo #FFFBEB.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36"/>
            <w:tcBorders>
              <w:top w:val="nil" w:sz="24" w:color="B91C1C"/>
              <w:bottom w:val="nil" w:sz="24" w:color="B91C1C"/>
              <w:right w:val="nil" w:sz="24" w:color="B91C1C"/>
              <w:left w:val="single" w:sz="24" w:color="B91C1C"/>
            </w:tcBorders>
            <w:shd w:fill="FEF2F2"/>
            <w:tcMar>
              <w:top w:w="150" w:type="dxa"/>
              <w:bottom w:w="150" w:type="dxa"/>
              <w:left w:w="220" w:type="dxa"/>
              <w:right w:w="220" w:type="dxa"/>
            </w:tcMar>
          </w:tcPr>
          <w:p>
            <w:pPr>
              <w:spacing w:after="100"/>
            </w:pPr>
            <w:r>
              <w:rPr>
                <w:b/>
                <w:color w:val="B91C1C"/>
                <w:sz w:val="20"/>
              </w:rPr>
              <w:t>ALERTA</w:t>
            </w:r>
          </w:p>
          <w:p>
            <w:pPr>
              <w:spacing w:after="0"/>
            </w:pPr>
            <w:r>
              <w:t>Alerta ou erro · Acento #B91C1C · Fondo #FEF2F2.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Tipografía e xerarquía</w:t>
      </w:r>
    </w:p>
    <w:p>
      <w:r>
        <w:t>Word: Segoe UI para o corpo de 11,5 ou 12 puntos; Aptos ou Calibri como alternativas. Título de 28 puntos en negra; seccións de 16 e subseccións de 13 en negra. Metadatos de 10 ou 11 puntos. Interliñado de 1,18 a 1,25 e entre 6 e 8 puntos despois dos parágrafos.</w:t>
      </w:r>
    </w:p>
    <w:p>
      <w:r>
        <w:t>Web: Inter se está dispoñible, con Segoe UI e fontes do sistema como alternativas. Corpo de 17 píxeles e interliñado de 1,65; título adaptable entre 30 e 44 píxeles. A fonte externa é opcional e está comentada para manter o funcionamento sen conexión.</w:t>
      </w:r>
    </w:p>
    <w:p>
      <w:pPr>
        <w:pStyle w:val="Heading1"/>
      </w:pPr>
      <w:r>
        <w:t>Construír unha caixa de chamada en Word</w:t>
      </w:r>
    </w:p>
    <w:p>
      <w:r>
        <w:t>1. Insire unha táboa dunha fila e unha columna. Desactiva o axuste automático e dálle o ancho útil da páxina.</w:t>
        <w:br/>
        <w:t>2. En Deseño de táboa &gt; Bordos e sombreado, elimina os bordos e aplica só un bordo esquerdo de 3 puntos coa cor semántica.</w:t>
        <w:br/>
        <w:t>3. Aplica o fondo suave correspondente. En Propiedades da táboa &gt; Opcións, establece marxes interiores de aproximadamente 0,25 cm arriba e abaixo e 0,4 cm nos lados.</w:t>
        <w:br/>
        <w:t>4. Escribe unha etiqueta curta en negra e o texto nun segundo parágrafo. Mantén a cela sen altura fixa.</w:t>
        <w:br/>
        <w:t>5. En Propiedades da táboa &gt; Fila, desmarca a división da fila entre páxinas. Se a caixa medra demasiado, redúcea a unha idea.</w:t>
      </w:r>
    </w:p>
    <w:p>
      <w:r>
        <w:t>As iconas son opcionais: Consello, Precaución e Nota funcionan tamén sen emojis, cuxa aparencia pode variar entre equipos. Recoméndanse símbolos monocromos ou SVG inseridos como imaxe con texto alternativo.</w:t>
      </w:r>
    </w:p>
    <w:p>
      <w:pPr>
        <w:pStyle w:val="Heading1"/>
      </w:pPr>
      <w:r>
        <w:t>Logotipo e adaptación por documento</w:t>
      </w:r>
    </w:p>
    <w:p>
      <w:r>
        <w:t>Edita a cabeceira e substitúe o marcador por unha imaxe en liña co texto, de ata 3 cm de ancho, mantendo a proporción. Apuntamentos: notas e exemplos. Boletíns: instrucións e pistas. Probas: normas e puntuacións, sen pistas que revelen respostas. Laboratorio: precaucións, pasos e comprobacións.</w:t>
      </w:r>
    </w:p>
    <w:p>
      <w:r>
        <w:br w:type="page"/>
      </w:r>
    </w:p>
    <w:p>
      <w:pPr>
        <w:pStyle w:val="Heading1"/>
      </w:pPr>
      <w:r>
        <w:t>Gardar e reutilizar un modelo DOTX</w:t>
      </w:r>
    </w:p>
    <w:p>
      <w:r>
        <w:t>1. Substitúe o logotipo, o nome do centro e os datos comúns.</w:t>
        <w:br/>
        <w:t>2. Revisa os estilos e elimina o contido de exemplo que non necesites.</w:t>
        <w:br/>
        <w:t>3. Selecciona Ficheiro &gt; Gardar como e o tipo Modelo de Word (*.dotx).</w:t>
        <w:br/>
        <w:t>4. Abre o DOTX para crear un documento novo e gárdao como DOCX. Para modificar o modelo orixinal, ábreo desde Ficheiro &gt; Abrir.</w:t>
        <w:br/>
        <w:t>5. Conserva unha copia mestra e revisa a paginación de cada material xerado.</w:t>
      </w:r>
    </w:p>
    <w:p>
      <w:r>
        <w:t>Os modelos entregados xa inclúen versións DOTX e DOCX. O tamaño inicial é Carta; cambia a A4 en Disposición &gt; Tamaño se é o formato do centro e revisa a distribución.</w:t>
      </w:r>
    </w:p>
    <w:p>
      <w:pPr>
        <w:pStyle w:val="Heading1"/>
      </w:pPr>
      <w:r>
        <w:t>Personalizar o HTML</w:t>
      </w:r>
    </w:p>
    <w:p>
      <w:r>
        <w:t>Todo o deseño está dentro de .edu-kit; o CSS non modifica o tema de Moodle. Substitúe os textos entre corchetes e a marca SVG do centro. Duplica as tarxetas ou caixas segundo a necesidade. Os acordeóns empregan details e summary, polo que seguen funcionando se o JavaScript se filtra.</w:t>
      </w:r>
    </w:p>
    <w:p>
      <w:pPr>
        <w:pStyle w:val="Heading1"/>
      </w:pPr>
      <w:r>
        <w:t>Publicar en Moodle</w:t>
      </w:r>
    </w:p>
    <w:p>
      <w:r>
        <w:t>O camiño máis estable é engadir un recurso Ficheiro, cargar o HTML e establecelo como ficheiro principal. Se o centro permite iframe, podes inserir ese recurso nunha Páxina, Libro ou área de texto. A dispoñibilidade depende da configuración do centro.</w:t>
      </w:r>
    </w:p>
    <w:p>
      <w:r>
        <w:t>Para pegar directamente no editor HTML, copia o bloque style, o contedor .edu-kit e o bloque script, sen doctype, html, head nin body. Moodle pode filtrar style, script ou iframe segundo os permisos e a configuración. A encapsulación reduce conflitos, pero non garante unha aparencia idéntica en todos os temas.</w:t>
      </w:r>
    </w:p>
    <w:p>
      <w:r>
        <w:t>A fonte de Google Fonts está comentada. Podes activala se o centro permite conexións externas; isto introduce unha dependencia de rede. O ficheiro non envía cualificacións nin almacena respostas. O progreso é unha lista de comprobación desta sesión.</w:t>
      </w:r>
    </w:p>
    <w:p>
      <w:pPr>
        <w:pStyle w:val="Heading1"/>
      </w:pPr>
      <w:r>
        <w:t>Verificación antes da distribución</w:t>
      </w:r>
    </w:p>
    <w:p>
      <w:r>
        <w:t>Comproba o recurso coa vista de estudante, no móbil e co teclado. Verifica a impresión, os textos alternativos e o contraste dos contidos que engadas. As solucións despregables son para práctica formativa, non para unha proba con respostas ocultas de forma segura.</w:t>
      </w:r>
    </w:p>
    <w:p>
      <w:r>
        <w:t>Documentación: https://docs.moodle.org/502/en/File_resource_settings</w:t>
        <w:br/>
        <w:t>https://docs.moodle.org/403/en/Capabilities/moodle/site:trustcontent</w:t>
      </w:r>
    </w:p>
    <w:p>
      <w:r>
        <w:br w:type="page"/>
      </w:r>
    </w:p>
    <w:p>
      <w:pPr>
        <w:pStyle w:val="Heading1"/>
      </w:pPr>
      <w:r>
        <w:t>Táboas modernas e estrutura dos datos</w:t>
      </w:r>
    </w:p>
    <w:p>
      <w:r>
        <w:t>Utiliza táboas para comparar conceptos, planificar tarefas, distribuír puntuacións e rexistrar resultados. Cada columna debe representar un atributo e cada fila un rexistro comparable. Evita mesturar unidades na mesma columna.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2448"/>
        <w:gridCol w:w="7488"/>
      </w:tblGrid>
      <w:tr>
        <w:trPr>
          <w:cantSplit/>
          <w:tblHeader/>
        </w:trPr>
        <w:tc>
          <w:tcPr>
            <w:tcW w:type="dxa" w:w="2448"/>
            <w:vAlign w:val="center"/>
            <w:shd w:fill="2563EB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/>
                <w:color w:val="FFFFFF"/>
                <w:sz w:val="22"/>
              </w:rPr>
              <w:t>Elemento</w:t>
            </w:r>
          </w:p>
        </w:tc>
        <w:tc>
          <w:tcPr>
            <w:tcW w:type="dxa" w:w="7488"/>
            <w:vAlign w:val="center"/>
            <w:shd w:fill="2563EB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/>
                <w:color w:val="FFFFFF"/>
                <w:sz w:val="22"/>
              </w:rPr>
              <w:t>Formato recomendado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Cabeceira</w:t>
            </w:r>
          </w:p>
        </w:tc>
        <w:tc>
          <w:tcPr>
            <w:tcW w:type="dxa" w:w="7488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Fondo #2563EB e texto branco en negra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1F5F9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Separación</w:t>
            </w:r>
          </w:p>
        </w:tc>
        <w:tc>
          <w:tcPr>
            <w:tcW w:type="dxa" w:w="7488"/>
            <w:vAlign w:val="center"/>
            <w:shd w:fill="F1F5F9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Só liñas horizontais de 0,5 puntos en #DCE4EF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Filas alternas</w:t>
            </w:r>
          </w:p>
        </w:tc>
        <w:tc>
          <w:tcPr>
            <w:tcW w:type="dxa" w:w="7488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Branco e fondo #F1F5F9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1F5F9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Marxes interiores</w:t>
            </w:r>
          </w:p>
        </w:tc>
        <w:tc>
          <w:tcPr>
            <w:tcW w:type="dxa" w:w="7488"/>
            <w:vAlign w:val="center"/>
            <w:shd w:fill="F1F5F9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0,23 cm arriba e abaixo e 0,32 cm nos lados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Aliñación</w:t>
            </w:r>
          </w:p>
        </w:tc>
        <w:tc>
          <w:tcPr>
            <w:tcW w:type="dxa" w:w="7488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Texto á esquerda e cantidades á dereita</w:t>
            </w:r>
          </w:p>
        </w:tc>
      </w:tr>
      <w:tr>
        <w:trPr>
          <w:cantSplit/>
        </w:trPr>
        <w:tc>
          <w:tcPr>
            <w:tcW w:type="dxa" w:w="2448"/>
            <w:vAlign w:val="center"/>
            <w:shd w:fill="F1F5F9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Paxinación</w:t>
            </w:r>
          </w:p>
        </w:tc>
        <w:tc>
          <w:tcPr>
            <w:tcW w:type="dxa" w:w="7488"/>
            <w:vAlign w:val="center"/>
            <w:shd w:fill="F1F5F9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Cabeceira repetida e filas sen división</w:t>
            </w:r>
          </w:p>
        </w:tc>
      </w:tr>
    </w:tbl>
    <w:p>
      <w:pPr>
        <w:spacing w:after="0"/>
      </w:pPr>
    </w:p>
    <w:p>
      <w:pPr>
        <w:pStyle w:val="Heading1"/>
      </w:pPr>
      <w:r>
        <w:t>Aplicar o formato en Word</w:t>
      </w:r>
    </w:p>
    <w:p>
      <w:r>
        <w:t>1. Insire a táboa co número de columnas necesario. Define anchos segundo o contido.</w:t>
        <w:br/>
        <w:t>2. En Deseño de táboa, elimina os bordos verticais e aplica separacións horizontais de 0,5 puntos.</w:t>
        <w:br/>
        <w:t>3. Selecciona a primeira fila, aplica o fondo azul e establece texto branco en negra.</w:t>
        <w:br/>
        <w:t>4. Alterna o fondo branco e #F1F5F9 nas filas do corpo.</w:t>
        <w:br/>
        <w:t>5. En Propiedades da táboa, axusta as marxes interiores e centra o contido verticalmente. Non fixes a altura das filas.</w:t>
        <w:br/>
        <w:t>6. Aliña o texto á esquerda, os números á dereita e as datas no centro ou á dereita. Inclúe a unidade na cabeceira.</w:t>
        <w:br/>
        <w:t>7. En Disposición da táboa, activa Repetir filas de título. Nas propiedades da fila, desactiva a división entre páxinas.</w:t>
      </w:r>
    </w:p>
    <w:p>
      <w:pPr>
        <w:pStyle w:val="Heading1"/>
      </w:pPr>
      <w:r>
        <w:t>Táboas na web</w:t>
      </w:r>
    </w:p>
    <w:p>
      <w:r>
        <w:t>As clases edu-table-wrap e edu-table encapsulan o formato. O contedor permite desprazamento horizontal en pantallas pequenas e acceso por teclado. Emprega caption para o título, th con scope para as cabeceiras e edu-num para cantidades. A cor ao pasar o rato só facilita a lectura; non comunica información esencial.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 xml:space="preserve">[Curso académico] · [Materia]  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egoe UI" w:hAnsi="Segoe UI"/>
        <w:sz w:val="18"/>
      </w:rPr>
      <w:t>[LOGOTIPO DO CENTRO]                         [NOME DO CENTRO]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3" w:lineRule="auto" w:after="160"/>
    </w:pPr>
    <w:rPr>
      <w:rFonts w:ascii="Segoe UI" w:hAnsi="Segoe UI"/>
      <w:color w:val="172033"/>
      <w:sz w:val="23"/>
      <w:lang w:val="gl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 w:line="283" w:lineRule="auto"/>
      <w:outlineLvl w:val="0"/>
    </w:pPr>
    <w:rPr>
      <w:rFonts w:asciiTheme="majorHAnsi" w:eastAsiaTheme="majorEastAsia" w:hAnsiTheme="majorHAnsi" w:cstheme="majorBidi" w:ascii="Segoe UI" w:hAnsi="Segoe U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60" w:line="283" w:lineRule="auto"/>
      <w:outlineLvl w:val="1"/>
    </w:pPr>
    <w:rPr>
      <w:rFonts w:asciiTheme="majorHAnsi" w:eastAsiaTheme="majorEastAsia" w:hAnsiTheme="majorHAnsi" w:cstheme="majorBidi" w:ascii="Segoe UI" w:hAnsi="Segoe U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83" w:lineRule="auto"/>
      <w:contextualSpacing/>
    </w:pPr>
    <w:rPr>
      <w:rFonts w:asciiTheme="majorHAnsi" w:eastAsiaTheme="majorEastAsia" w:hAnsiTheme="majorHAnsi" w:cstheme="majorBidi" w:ascii="Segoe UI" w:hAnsi="Segoe UI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83" w:lineRule="auto" w:after="160"/>
    </w:pPr>
    <w:rPr>
      <w:rFonts w:asciiTheme="majorHAnsi" w:eastAsiaTheme="majorEastAsia" w:hAnsiTheme="majorHAnsi" w:cstheme="majorBidi" w:ascii="Segoe UI" w:hAnsi="Segoe UI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do sistema visual educativo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