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EF9C3"/>
            <w:tcBorders>
              <w:left w:val="single" w:sz="24" w:space="0" w:color="CA8A04"/>
              <w:top w:val="single" w:sz="2" w:space="0" w:color="FEF9C3"/>
              <w:bottom w:val="single" w:sz="2" w:space="0" w:color="FEF9C3"/>
              <w:right w:val="single" w:sz="2" w:space="0" w:color="FEF9C3"/>
            </w:tcBorders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854D0E"/>
                <w:sz w:val="20"/>
              </w:rPr>
              <w:t>INSTRUCIÓNS DE USO - borrar esta caixa antes de pechar a programación</w:t>
            </w:r>
          </w:p>
          <w:p>
            <w:pPr>
              <w:spacing w:before="0" w:after="40"/>
              <w:ind w:left="120"/>
            </w:pPr>
            <w:r>
              <w:rPr>
                <w:rFonts w:ascii="Calibri" w:hAnsi="Calibri"/>
                <w:b w:val="0"/>
                <w:i w:val="0"/>
                <w:color w:val="713F12"/>
                <w:sz w:val="18"/>
              </w:rPr>
              <w:t>• Duplica este ficheiro co nome da programación (ex. programacion_bioloxia_1eso.docx).</w:t>
            </w:r>
          </w:p>
          <w:p>
            <w:pPr>
              <w:spacing w:before="0" w:after="40"/>
              <w:ind w:left="120"/>
            </w:pPr>
            <w:r>
              <w:rPr>
                <w:rFonts w:ascii="Calibri" w:hAnsi="Calibri"/>
                <w:b w:val="0"/>
                <w:i w:val="0"/>
                <w:color w:val="713F12"/>
                <w:sz w:val="18"/>
              </w:rPr>
              <w:t>• Cubre a táboa 'Datos da programación' - os apartados numerados seguen SKILL.md, Sección 4 (edu-proens-generator).</w:t>
            </w:r>
          </w:p>
          <w:p>
            <w:pPr>
              <w:spacing w:before="0" w:after="40"/>
              <w:ind w:left="120"/>
            </w:pPr>
            <w:r>
              <w:rPr>
                <w:rFonts w:ascii="Calibri" w:hAnsi="Calibri"/>
                <w:b w:val="0"/>
                <w:i w:val="0"/>
                <w:color w:val="713F12"/>
                <w:sz w:val="18"/>
              </w:rPr>
              <w:t>• As táboas de exemplo (3.1, 3.3) inclúen validacións de PROENS (Σ sesións, Σ pesos = 100%): mantén a estrutura de columnas.</w:t>
            </w:r>
          </w:p>
          <w:p>
            <w:pPr>
              <w:spacing w:before="0" w:after="40"/>
              <w:ind w:left="120"/>
            </w:pPr>
            <w:r>
              <w:rPr>
                <w:rFonts w:ascii="Calibri" w:hAnsi="Calibri"/>
                <w:b w:val="0"/>
                <w:i w:val="0"/>
                <w:color w:val="713F12"/>
                <w:sz w:val="18"/>
              </w:rPr>
              <w:t>• Documento de centro para revisión e acceso público segundo PROENS; sen atribución automática.</w:t>
            </w:r>
          </w:p>
          <w:p>
            <w:pPr>
              <w:spacing w:before="0" w:after="40"/>
              <w:ind w:left="120"/>
            </w:pPr>
            <w:r>
              <w:rPr>
                <w:rFonts w:ascii="Calibri" w:hAnsi="Calibri"/>
                <w:b w:val="0"/>
                <w:i w:val="0"/>
                <w:color w:val="713F12"/>
                <w:sz w:val="18"/>
              </w:rPr>
              <w:t>• Borra esta caixa amarela antes de pechar a programación.</w:t>
            </w:r>
          </w:p>
        </w:tc>
      </w:tr>
    </w:tbl>
    <w:p/>
    <w:p>
      <w:pPr>
        <w:jc w:val="center"/>
      </w:pPr>
      <w:r>
        <w:rPr>
          <w:rFonts w:ascii="Georgia" w:hAnsi="Georgia"/>
          <w:b/>
          <w:i w:val="0"/>
          <w:color w:val="1E40AF"/>
          <w:sz w:val="48"/>
        </w:rPr>
        <w:t>PROGRAMACIÓN DIDÁCTICA</w:t>
      </w:r>
    </w:p>
    <w:p>
      <w:pPr>
        <w:jc w:val="center"/>
      </w:pPr>
      <w:r>
        <w:rPr>
          <w:rFonts w:ascii="Calibri" w:hAnsi="Calibri"/>
          <w:b w:val="0"/>
          <w:i w:val="0"/>
          <w:color w:val="64748B"/>
          <w:sz w:val="26"/>
        </w:rPr>
        <w:t>Curso [AAAA-AAAA]</w:t>
      </w:r>
    </w:p>
    <w:p/>
    <w:p>
      <w:pPr>
        <w:pStyle w:val="Heading2"/>
      </w:pPr>
      <w:r>
        <w:t>Datos da Programación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Código de centro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[código]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Centro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[nome do centro]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Concello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[concello]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Ano académico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[AAAA-AAAA]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Ensinanza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[ex. Educación Secundaria Obrigatoria]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Etapa e curso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[ex. 1º ESO]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Área/Materia/Ámbito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[nome]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Grupo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[programación única por nivel; grupos aos que se aplica]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Modalidade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[Presencial / Semipresencial / Distancia]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Sesións semanais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[nº]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Horas anuais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[nº]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Duración de sesión (min)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[nº, normalmente 50]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Sesións anuais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[dato de PROENS contrastado co horario e calendario lectivo]</w:t>
            </w:r>
          </w:p>
        </w:tc>
      </w:tr>
      <w:tr>
        <w:tc>
          <w:tcPr>
            <w:tcW w:type="dxa" w:w="3402"/>
            <w:shd w:val="clear" w:color="auto" w:fill="EFF6FF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1E40AF"/>
                <w:sz w:val="19"/>
              </w:rPr>
              <w:t>Docentes</w:t>
            </w:r>
          </w:p>
        </w:tc>
        <w:tc>
          <w:tcPr>
            <w:tcW w:type="dxa" w:w="5386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45" w:type="dxa"/>
              <w:bottom w:w="45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[nome(s)]</w:t>
            </w:r>
          </w:p>
        </w:tc>
      </w:tr>
    </w:tbl>
    <w:p/>
    <w:p>
      <w:r>
        <w:br w:type="page"/>
      </w:r>
    </w:p>
    <w:p>
      <w:pPr>
        <w:pStyle w:val="Heading1"/>
      </w:pPr>
      <w:r>
        <w:t>1. Introdución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[Texto libre e breve que contextualiza a proposta didáctica - references/proens-estrutura.md, apartado 1]</w:t>
      </w:r>
    </w:p>
    <w:p>
      <w:pPr>
        <w:pStyle w:val="Heading1"/>
      </w:pPr>
      <w:r>
        <w:t>2. Obxectivos e a súa contribución ao desenvolvemento das competencias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[Relación OBX-descritores de competencias clave - references/proens-estrutura.md, apartado 2]</w:t>
      </w:r>
    </w:p>
    <w:p>
      <w:pPr>
        <w:pStyle w:val="Heading1"/>
      </w:pPr>
      <w:r>
        <w:t>3. Unidades didácticas, secuencia e temporización</w:t>
      </w:r>
    </w:p>
    <w:p>
      <w:pPr>
        <w:pStyle w:val="Heading2"/>
      </w:pPr>
      <w:r>
        <w:t>3.1 Relación de unidades didácticas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134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UD</w:t>
            </w:r>
          </w:p>
        </w:tc>
        <w:tc>
          <w:tcPr>
            <w:tcW w:type="dxa" w:w="3402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Descrición</w:t>
            </w:r>
          </w:p>
        </w:tc>
        <w:tc>
          <w:tcPr>
            <w:tcW w:type="dxa" w:w="1134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Sesións</w:t>
            </w:r>
          </w:p>
        </w:tc>
        <w:tc>
          <w:tcPr>
            <w:tcW w:type="dxa" w:w="1134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Peso (%)</w:t>
            </w:r>
          </w:p>
        </w:tc>
        <w:tc>
          <w:tcPr>
            <w:tcW w:type="dxa" w:w="1474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Trimestre</w:t>
            </w:r>
          </w:p>
        </w:tc>
      </w:tr>
      <w:tr>
        <w:tc>
          <w:tcPr>
            <w:tcW w:type="dxa" w:w="1134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UD 1</w:t>
            </w:r>
          </w:p>
        </w:tc>
        <w:tc>
          <w:tcPr>
            <w:tcW w:type="dxa" w:w="3402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[descrición breve]</w:t>
            </w:r>
          </w:p>
        </w:tc>
        <w:tc>
          <w:tcPr>
            <w:tcW w:type="dxa" w:w="1134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[nº]</w:t>
            </w:r>
          </w:p>
        </w:tc>
        <w:tc>
          <w:tcPr>
            <w:tcW w:type="dxa" w:w="1134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[%]</w:t>
            </w:r>
          </w:p>
        </w:tc>
        <w:tc>
          <w:tcPr>
            <w:tcW w:type="dxa" w:w="1474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[1º/2º/3º]</w:t>
            </w:r>
          </w:p>
        </w:tc>
      </w:tr>
      <w:tr>
        <w:tc>
          <w:tcPr>
            <w:tcW w:type="dxa" w:w="1134"/>
            <w:shd w:val="clear" w:color="auto" w:fill="F1F5F9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UD 2</w:t>
            </w:r>
          </w:p>
        </w:tc>
        <w:tc>
          <w:tcPr>
            <w:tcW w:type="dxa" w:w="3402"/>
            <w:shd w:val="clear" w:color="auto" w:fill="F1F5F9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[descrición breve]</w:t>
            </w:r>
          </w:p>
        </w:tc>
        <w:tc>
          <w:tcPr>
            <w:tcW w:type="dxa" w:w="1134"/>
            <w:shd w:val="clear" w:color="auto" w:fill="F1F5F9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[nº]</w:t>
            </w:r>
          </w:p>
        </w:tc>
        <w:tc>
          <w:tcPr>
            <w:tcW w:type="dxa" w:w="1134"/>
            <w:shd w:val="clear" w:color="auto" w:fill="F1F5F9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[%]</w:t>
            </w:r>
          </w:p>
        </w:tc>
        <w:tc>
          <w:tcPr>
            <w:tcW w:type="dxa" w:w="1474"/>
            <w:shd w:val="clear" w:color="auto" w:fill="F1F5F9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[1º/2º/3º]</w:t>
            </w:r>
          </w:p>
        </w:tc>
      </w:tr>
    </w:tbl>
    <w:p/>
    <w:p>
      <w:pPr/>
      <w:r>
        <w:rPr>
          <w:rFonts w:ascii="Calibri" w:hAnsi="Calibri"/>
          <w:b w:val="0"/>
          <w:i/>
          <w:color w:val="64748B"/>
          <w:sz w:val="20"/>
        </w:rPr>
        <w:t>Validacións PROENS: Σ sesións das UD = sesións anuais da área/materia · Σ pesos = 100 % (agás Infantil).</w:t>
      </w:r>
    </w:p>
    <w:p>
      <w:pPr>
        <w:pStyle w:val="Heading2"/>
      </w:pPr>
      <w:r>
        <w:t>3.2 Distribución do currículo nas UD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[Táboa de dobre entrada UD × CA/contido - references/proens-estrutura.md, apartado 3]</w:t>
      </w:r>
    </w:p>
    <w:p>
      <w:pPr>
        <w:pStyle w:val="Heading2"/>
      </w:pPr>
      <w:r>
        <w:t>3.3 Avaliación das 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247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CA</w:t>
            </w:r>
          </w:p>
        </w:tc>
        <w:tc>
          <w:tcPr>
            <w:tcW w:type="dxa" w:w="2835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Instrumento</w:t>
            </w:r>
          </w:p>
        </w:tc>
        <w:tc>
          <w:tcPr>
            <w:tcW w:type="dxa" w:w="2835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Mínimo de consecución</w:t>
            </w:r>
          </w:p>
        </w:tc>
        <w:tc>
          <w:tcPr>
            <w:tcW w:type="dxa" w:w="1361"/>
            <w:shd w:val="clear" w:color="auto" w:fill="1E40A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AF"/>
              <w:bottom w:val="single" w:sz="4" w:space="0" w:color="1E40AF"/>
              <w:left w:val="single" w:sz="4" w:space="0" w:color="1E40AF"/>
              <w:right w:val="single" w:sz="4" w:space="0" w:color="1E40AF"/>
            </w:tcBorders>
          </w:tcPr>
          <w:p>
            <w:pPr>
              <w:spacing w:before="0" w:after="4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Peso (%)</w:t>
            </w:r>
          </w:p>
        </w:tc>
      </w:tr>
      <w:tr>
        <w:tc>
          <w:tcPr>
            <w:tcW w:type="dxa" w:w="1247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[CAx.x]</w:t>
            </w:r>
          </w:p>
        </w:tc>
        <w:tc>
          <w:tcPr>
            <w:tcW w:type="dxa" w:w="2835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[Proba escrita / Táboa de indicadores]</w:t>
            </w:r>
          </w:p>
        </w:tc>
        <w:tc>
          <w:tcPr>
            <w:tcW w:type="dxa" w:w="2835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[aprendizaxe observable derivada do CA, sen limiar numérico xenérico]</w:t>
            </w:r>
          </w:p>
        </w:tc>
        <w:tc>
          <w:tcPr>
            <w:tcW w:type="dxa" w:w="1361"/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1E293B"/>
                <w:sz w:val="19"/>
              </w:rPr>
              <w:t>[%]</w:t>
            </w:r>
          </w:p>
        </w:tc>
      </w:tr>
    </w:tbl>
    <w:p/>
    <w:p>
      <w:pPr/>
      <w:r>
        <w:rPr>
          <w:rFonts w:ascii="Calibri" w:hAnsi="Calibri"/>
          <w:b w:val="0"/>
          <w:i/>
          <w:color w:val="64748B"/>
          <w:sz w:val="20"/>
        </w:rPr>
        <w:t>Validación PROENS: Σ pesos de cada UD = 100 % (agás Infantil).</w:t>
      </w:r>
    </w:p>
    <w:p>
      <w:pPr>
        <w:pStyle w:val="Heading1"/>
      </w:pPr>
      <w:r>
        <w:t>4. Metodoloxía</w:t>
      </w:r>
    </w:p>
    <w:p>
      <w:pPr>
        <w:pStyle w:val="Heading2"/>
      </w:pPr>
      <w:r>
        <w:t>4.1 Concrecións metodolóxicas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[Estratexias, técnicas, agrupamentos, uso de espazos, estrutura das sesións]</w:t>
      </w:r>
    </w:p>
    <w:p>
      <w:pPr>
        <w:pStyle w:val="Heading2"/>
      </w:pPr>
      <w:r>
        <w:t>4.2 Materiais e recursos didácticos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[Listaxe categorizada: impresos, manipulativos, tecnolóxicos, dixitais]</w:t>
      </w:r>
    </w:p>
    <w:p>
      <w:pPr>
        <w:pStyle w:val="Heading1"/>
      </w:pPr>
      <w:r>
        <w:t>5. Avaliación</w:t>
      </w:r>
    </w:p>
    <w:p>
      <w:pPr>
        <w:pStyle w:val="Heading2"/>
      </w:pPr>
      <w:r>
        <w:t>5.1 Avaliación inicial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[Procedemento: técnicas, momento, alumnado de nova incorporación]</w:t>
      </w:r>
    </w:p>
    <w:p>
      <w:pPr>
        <w:pStyle w:val="Heading2"/>
      </w:pPr>
      <w:r>
        <w:t>5.2 Criterios de valoración (EI) ou cualificación e recuperación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[EI: valoración cualitativa. Outras etapas: regra de cualificación e recuperación coherente cos CA; pesos do 3.3 orientativos.]</w:t>
      </w:r>
    </w:p>
    <w:p>
      <w:pPr>
        <w:pStyle w:val="Heading2"/>
      </w:pPr>
      <w:r>
        <w:t>5.3 Materias/ámbitos pendentes (só ESO/Bacharelato)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["Non resulta de aplicación" se non procede na etapa/curso]</w:t>
      </w:r>
    </w:p>
    <w:p>
      <w:pPr>
        <w:pStyle w:val="Heading2"/>
      </w:pPr>
      <w:r>
        <w:t>5.4 Acreditación de coñecementos (só Bacharelato)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["Non resulta de aplicación" se non procede]</w:t>
      </w:r>
    </w:p>
    <w:p>
      <w:pPr>
        <w:pStyle w:val="Heading1"/>
      </w:pPr>
      <w:r>
        <w:t>6. Atención á diversidade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[Medidas ordinarias e extraordinarias concretas, sen datos identificativos do alumnado]</w:t>
      </w:r>
    </w:p>
    <w:p>
      <w:pPr>
        <w:pStyle w:val="Heading1"/>
      </w:pPr>
      <w:r>
        <w:t>7. Transversal</w:t>
      </w:r>
    </w:p>
    <w:p>
      <w:pPr>
        <w:pStyle w:val="Heading2"/>
      </w:pPr>
      <w:r>
        <w:t>7.1 Elementos transversais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[Relación coas UD nas que se traballan + contribución ao Plan Lector do centro]</w:t>
      </w:r>
    </w:p>
    <w:p>
      <w:pPr>
        <w:pStyle w:val="Heading2"/>
      </w:pPr>
      <w:r>
        <w:t>7.2 Actividades complementarias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[Denominación, descrición, trimestre - sen validacións de cadre]</w:t>
      </w:r>
    </w:p>
    <w:p>
      <w:pPr>
        <w:pStyle w:val="Heading1"/>
      </w:pPr>
      <w:r>
        <w:t>8. Práctica docente</w:t>
      </w:r>
    </w:p>
    <w:p>
      <w:pPr>
        <w:pStyle w:val="Heading2"/>
      </w:pPr>
      <w:r>
        <w:t>8.1 Indicadores de logro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[Adecuación da programación, metodoloxía, organización da aula, atención á diversidade...]</w:t>
      </w:r>
    </w:p>
    <w:p>
      <w:pPr>
        <w:pStyle w:val="Heading2"/>
      </w:pPr>
      <w:r>
        <w:t>8.2 Procedemento de seguimento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[Seguimento, avaliación e propostas de mellora]</w:t>
      </w:r>
    </w:p>
    <w:p>
      <w:pPr>
        <w:pStyle w:val="Heading1"/>
      </w:pPr>
      <w:r>
        <w:t>9. Outros apartados (opcional)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[Deixar en branco se non hai información adicional relevante]</w:t>
      </w:r>
    </w:p>
    <w:p>
      <w:pPr>
        <w:pStyle w:val="Heading1"/>
      </w:pPr>
      <w:r>
        <w:t>10. Anexo informativo</w:t>
      </w:r>
    </w:p>
    <w:p>
      <w:pPr/>
      <w:r>
        <w:rPr>
          <w:rFonts w:ascii="Calibri" w:hAnsi="Calibri"/>
          <w:b w:val="0"/>
          <w:i/>
          <w:color w:val="64748B"/>
          <w:sz w:val="20"/>
        </w:rPr>
        <w:t>[Reprodución automática do currículo - non require elaboración]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417" w:bottom="1247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64748B"/>
        <w:sz w:val="16"/>
      </w:rPr>
      <w:t>Documento interno de centro - Programación Didáctica - non leva atribución de autoría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4" w:space="4" w:color="E2E8F0"/>
      </w:pBdr>
    </w:pPr>
    <w:r/>
    <w:r>
      <w:rPr>
        <w:rFonts w:ascii="Calibri" w:hAnsi="Calibri"/>
        <w:b w:val="0"/>
        <w:i w:val="0"/>
        <w:color w:val="64748B"/>
        <w:sz w:val="17"/>
      </w:rPr>
      <w:t>Programación Didáctica  [CAMBIAR: Área/Materia/Ámbito - Curso]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Georgia" w:hAnsi="Georgia"/>
      <w:b/>
      <w:bCs/>
      <w:color w:val="1E40A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E40A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E40AF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base — edu-proens-generator</dc:title>
  <dc:subject/>
  <dc:creator>Javier Feijóo López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