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FPMetadatos"/>
      </w:pPr>
      <w:r>
        <w:t>RECUPERACIÓN · [UD / referencia]</w:t>
      </w:r>
    </w:p>
    <w:p>
      <w:pPr>
        <w:pStyle w:val="Title"/>
      </w:pPr>
      <w:r>
        <w:t>[Plan de recuperación]</w:t>
      </w:r>
    </w:p>
    <w:p>
      <w:r>
        <w:t>[Módulo e código] · [Ciclo] · [Curso / grupo] · [Duración]</w:t>
      </w:r>
    </w:p>
    <w:p>
      <w:pPr>
        <w:pStyle w:val="Heading1"/>
      </w:pPr>
      <w:r>
        <w:t>Plan de recuperación</w:t>
      </w:r>
    </w:p>
    <w:p>
      <w:r>
        <w:t>[Módulo e curso]. Procedemento aplicable e fonte: [ordinaria / pendentes / perda da avaliación continua].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tblHeader/>
          <w:cantSplit/>
        </w:trPr>
        <w:tc>
          <w:tcPr>
            <w:tcW w:type="dxa" w:w="4762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Apartado</w:t>
            </w:r>
          </w:p>
        </w:tc>
        <w:tc>
          <w:tcPr>
            <w:tcW w:type="dxa" w:w="4762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Contido</w:t>
            </w:r>
          </w:p>
        </w:tc>
      </w:tr>
      <w:tr>
        <w:trPr>
          <w:cantSplit/>
        </w:trPr>
        <w:tc>
          <w:tcPr>
            <w:tcW w:type="dxa" w:w="4762"/>
            <w:shd w:fill="F1F5F9"/>
          </w:tcPr>
          <w:p>
            <w:pPr>
              <w:spacing w:after="80"/>
            </w:pPr>
            <w:r>
              <w:rPr>
                <w:sz w:val="20"/>
              </w:rPr>
              <w:t>CA e evidencias non acadadas</w:t>
            </w:r>
          </w:p>
        </w:tc>
        <w:tc>
          <w:tcPr>
            <w:tcW w:type="dxa" w:w="4762"/>
            <w:shd w:fill="F1F5F9"/>
          </w:tcPr>
          <w:p>
            <w:pPr>
              <w:spacing w:after="80"/>
            </w:pPr>
            <w:r>
              <w:rPr>
                <w:sz w:val="20"/>
              </w:rPr>
              <w:t>[Códigos e texto oficiais]</w:t>
            </w:r>
          </w:p>
        </w:tc>
      </w:tr>
      <w:tr>
        <w:trPr>
          <w:cantSplit/>
        </w:trPr>
        <w:tc>
          <w:tcPr>
            <w:tcW w:type="dxa" w:w="4762"/>
            <w:shd w:fill="FFFFFF"/>
          </w:tcPr>
          <w:p>
            <w:pPr>
              <w:spacing w:after="80"/>
            </w:pPr>
            <w:r>
              <w:rPr>
                <w:sz w:val="20"/>
              </w:rPr>
              <w:t>Apoios e recursos</w:t>
            </w:r>
          </w:p>
        </w:tc>
        <w:tc>
          <w:tcPr>
            <w:tcW w:type="dxa" w:w="4762"/>
            <w:shd w:fill="FFFFFF"/>
          </w:tcPr>
          <w:p>
            <w:pPr>
              <w:spacing w:after="80"/>
            </w:pPr>
            <w:r>
              <w:rPr>
                <w:sz w:val="20"/>
              </w:rPr>
              <w:t>[Accións propostas]</w:t>
            </w:r>
          </w:p>
        </w:tc>
      </w:tr>
      <w:tr>
        <w:trPr>
          <w:cantSplit/>
        </w:trPr>
        <w:tc>
          <w:tcPr>
            <w:tcW w:type="dxa" w:w="4762"/>
            <w:shd w:fill="F1F5F9"/>
          </w:tcPr>
          <w:p>
            <w:pPr>
              <w:spacing w:after="80"/>
            </w:pPr>
            <w:r>
              <w:rPr>
                <w:sz w:val="20"/>
              </w:rPr>
              <w:t>Tarefas e evidencias equivalentes</w:t>
            </w:r>
          </w:p>
        </w:tc>
        <w:tc>
          <w:tcPr>
            <w:tcW w:type="dxa" w:w="4762"/>
            <w:shd w:fill="F1F5F9"/>
          </w:tcPr>
          <w:p>
            <w:pPr>
              <w:spacing w:after="80"/>
            </w:pPr>
            <w:r>
              <w:rPr>
                <w:sz w:val="20"/>
              </w:rPr>
              <w:t>[Descrición]</w:t>
            </w:r>
          </w:p>
        </w:tc>
      </w:tr>
      <w:tr>
        <w:trPr>
          <w:cantSplit/>
        </w:trPr>
        <w:tc>
          <w:tcPr>
            <w:tcW w:type="dxa" w:w="4762"/>
            <w:shd w:fill="FFFFFF"/>
          </w:tcPr>
          <w:p>
            <w:pPr>
              <w:spacing w:after="80"/>
            </w:pPr>
            <w:r>
              <w:rPr>
                <w:sz w:val="20"/>
              </w:rPr>
              <w:t>Instrumentos e criterios de cualificación</w:t>
            </w:r>
          </w:p>
        </w:tc>
        <w:tc>
          <w:tcPr>
            <w:tcW w:type="dxa" w:w="4762"/>
            <w:shd w:fill="FFFFFF"/>
          </w:tcPr>
          <w:p>
            <w:pPr>
              <w:spacing w:after="80"/>
            </w:pPr>
            <w:r>
              <w:rPr>
                <w:sz w:val="20"/>
              </w:rPr>
              <w:t>[Programación aprobada]</w:t>
            </w:r>
          </w:p>
        </w:tc>
      </w:tr>
      <w:tr>
        <w:trPr>
          <w:cantSplit/>
        </w:trPr>
        <w:tc>
          <w:tcPr>
            <w:tcW w:type="dxa" w:w="4762"/>
            <w:shd w:fill="F1F5F9"/>
          </w:tcPr>
          <w:p>
            <w:pPr>
              <w:spacing w:after="80"/>
            </w:pPr>
            <w:r>
              <w:rPr>
                <w:sz w:val="20"/>
              </w:rPr>
              <w:t>Prazos e revisións</w:t>
            </w:r>
          </w:p>
        </w:tc>
        <w:tc>
          <w:tcPr>
            <w:tcW w:type="dxa" w:w="4762"/>
            <w:shd w:fill="F1F5F9"/>
          </w:tcPr>
          <w:p>
            <w:pPr>
              <w:spacing w:after="80"/>
            </w:pPr>
            <w:r>
              <w:rPr>
                <w:sz w:val="20"/>
              </w:rPr>
              <w:t>[Datos confirmados ou pendentes]</w:t>
            </w:r>
          </w:p>
        </w:tc>
      </w:tr>
      <w:tr>
        <w:trPr>
          <w:cantSplit/>
        </w:trPr>
        <w:tc>
          <w:tcPr>
            <w:tcW w:type="dxa" w:w="4762"/>
            <w:shd w:fill="FFFFFF"/>
          </w:tcPr>
          <w:p>
            <w:pPr>
              <w:spacing w:after="80"/>
            </w:pPr>
            <w:r>
              <w:rPr>
                <w:sz w:val="20"/>
              </w:rPr>
              <w:t>Resultado do seguimento</w:t>
            </w:r>
          </w:p>
        </w:tc>
        <w:tc>
          <w:tcPr>
            <w:tcW w:type="dxa" w:w="4762"/>
            <w:shd w:fill="FFFFFF"/>
          </w:tcPr>
          <w:p>
            <w:pPr>
              <w:spacing w:after="80"/>
            </w:pPr>
            <w:r>
              <w:rPr>
                <w:sz w:val="20"/>
              </w:rPr>
              <w:t>[Rexistro anonimizado]</w:t>
            </w:r>
          </w:p>
        </w:tc>
      </w:tr>
    </w:tbl>
    <w:p/>
    <w:p>
      <w:pPr>
        <w:pStyle w:val="FPAviso"/>
      </w:pPr>
      <w:r>
        <w:rPr>
          <w:b/>
        </w:rPr>
        <w:t>Límites</w:t>
        <w:br/>
      </w:r>
      <w:r>
        <w:t>Non inventar mínimos, porcentaxes nin regras de recuperación: usar só o aprobado na programación e no centro.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[Autoría: completar polo/a docente] · CC BY-NC-SA 4.0 · Páxina </w:t>
    </w:r>
    <w:fldSimple w:instr="PAGE"/>
  </w:p>
  <w:p>
    <w:pPr>
      <w:pStyle w:val="Footer"/>
    </w:pPr>
    <w:r>
      <w:t>Contido elaborado co apoio de intelixencia artificial e revisado polo/a docente antes da súa publicación.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[Centro] · [Ciclo] · [Módulo] · [Curso académico]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3" w:lineRule="auto" w:after="160"/>
    </w:pPr>
    <w:rPr>
      <w:rFonts w:ascii="Segoe UI" w:hAnsi="Segoe UI"/>
      <w:color w:val="1E293B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0"/>
      <w:outlineLvl w:val="0"/>
      <w:pBdr>
        <w:bottom w:val="single" w:sz="6" w:space="5" w:color="E2E8F0"/>
      </w:pBdr>
    </w:pPr>
    <w:rPr>
      <w:rFonts w:asciiTheme="majorHAnsi" w:eastAsiaTheme="majorEastAsia" w:hAnsiTheme="majorHAnsi" w:cstheme="majorBidi" w:ascii="Segoe UI" w:hAnsi="Segoe UI"/>
      <w:b/>
      <w:bCs/>
      <w:color w:val="1E40A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 w:ascii="Segoe UI" w:hAnsi="Segoe UI"/>
      <w:b/>
      <w:bCs/>
      <w:color w:val="1E40A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0"/>
      <w:outlineLvl w:val="2"/>
    </w:pPr>
    <w:rPr>
      <w:rFonts w:asciiTheme="majorHAnsi" w:eastAsiaTheme="majorEastAsia" w:hAnsiTheme="majorHAnsi" w:cstheme="majorBidi" w:ascii="Segoe UI" w:hAnsi="Segoe UI"/>
      <w:b/>
      <w:bCs/>
      <w:color w:val="1E40AF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 w:before="320"/>
      <w:contextualSpacing/>
    </w:pPr>
    <w:rPr>
      <w:rFonts w:asciiTheme="majorHAnsi" w:eastAsiaTheme="majorEastAsia" w:hAnsiTheme="majorHAnsi" w:cstheme="majorBidi" w:ascii="Segoe UI" w:hAnsi="Segoe UI"/>
      <w:b/>
      <w:color w:val="1E40A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PInformacion">
    <w:name w:val="FP Informacion"/>
    <w:basedOn w:val="Normal"/>
    <w:pPr>
      <w:shd w:fill="EFF6FF"/>
      <w:pBdr>
        <w:left w:val="single" w:sz="24" w:space="8" w:color="0369A1"/>
      </w:pBdr>
      <w:spacing w:before="180" w:after="180"/>
      <w:ind w:left="227" w:right="170"/>
    </w:pPr>
    <w:rPr>
      <w:color w:val="0369A1"/>
    </w:rPr>
  </w:style>
  <w:style w:type="paragraph" w:customStyle="1" w:styleId="FPRecorda">
    <w:name w:val="FP Recorda"/>
    <w:basedOn w:val="Normal"/>
    <w:pPr>
      <w:shd w:fill="F5F3FF"/>
      <w:pBdr>
        <w:left w:val="single" w:sz="24" w:space="8" w:color="7C3AED"/>
      </w:pBdr>
      <w:spacing w:before="180" w:after="180"/>
      <w:ind w:left="227" w:right="170"/>
    </w:pPr>
    <w:rPr>
      <w:color w:val="7C3AED"/>
    </w:rPr>
  </w:style>
  <w:style w:type="paragraph" w:customStyle="1" w:styleId="FPConsello">
    <w:name w:val="FP Consello"/>
    <w:basedOn w:val="Normal"/>
    <w:pPr>
      <w:shd w:fill="ECFDF5"/>
      <w:pBdr>
        <w:left w:val="single" w:sz="24" w:space="8" w:color="059669"/>
      </w:pBdr>
      <w:spacing w:before="180" w:after="180"/>
      <w:ind w:left="227" w:right="170"/>
    </w:pPr>
    <w:rPr>
      <w:color w:val="059669"/>
    </w:rPr>
  </w:style>
  <w:style w:type="paragraph" w:customStyle="1" w:styleId="FPAviso">
    <w:name w:val="FP Aviso"/>
    <w:basedOn w:val="Normal"/>
    <w:pPr>
      <w:shd w:fill="FFFBEB"/>
      <w:pBdr>
        <w:left w:val="single" w:sz="24" w:space="8" w:color="92400E"/>
      </w:pBdr>
      <w:spacing w:before="180" w:after="180"/>
      <w:ind w:left="227" w:right="170"/>
    </w:pPr>
    <w:rPr>
      <w:color w:val="92400E"/>
    </w:rPr>
  </w:style>
  <w:style w:type="paragraph" w:customStyle="1" w:styleId="FPImportante">
    <w:name w:val="FP Importante"/>
    <w:basedOn w:val="Normal"/>
    <w:pPr>
      <w:shd w:fill="FEF2F2"/>
      <w:pBdr>
        <w:left w:val="single" w:sz="24" w:space="8" w:color="DC2626"/>
      </w:pBdr>
      <w:spacing w:before="180" w:after="180"/>
      <w:ind w:left="227" w:right="170"/>
    </w:pPr>
    <w:rPr>
      <w:color w:val="DC2626"/>
    </w:rPr>
  </w:style>
  <w:style w:type="paragraph" w:customStyle="1" w:styleId="FPDefinicion">
    <w:name w:val="FP Definicion"/>
    <w:basedOn w:val="Normal"/>
    <w:pPr>
      <w:shd w:fill="ECFEFF"/>
      <w:pBdr>
        <w:left w:val="single" w:sz="24" w:space="8" w:color="0E7490"/>
      </w:pBdr>
      <w:spacing w:before="180" w:after="180"/>
      <w:ind w:left="227" w:right="170"/>
    </w:pPr>
    <w:rPr>
      <w:color w:val="0E7490"/>
    </w:rPr>
  </w:style>
  <w:style w:type="paragraph" w:customStyle="1" w:styleId="FPExercicio">
    <w:name w:val="FP Exercicio"/>
    <w:basedOn w:val="Normal"/>
    <w:pPr>
      <w:shd w:fill="FDF2F8"/>
      <w:pBdr>
        <w:left w:val="single" w:sz="24" w:space="8" w:color="BE185D"/>
      </w:pBdr>
      <w:spacing w:before="180" w:after="180"/>
      <w:ind w:left="227" w:right="170"/>
    </w:pPr>
    <w:rPr>
      <w:color w:val="BE185D"/>
    </w:rPr>
  </w:style>
  <w:style w:type="paragraph" w:customStyle="1" w:styleId="FPSolucion">
    <w:name w:val="FP Solucion"/>
    <w:basedOn w:val="Normal"/>
    <w:pPr>
      <w:shd w:fill="F0FDF4"/>
      <w:pBdr>
        <w:left w:val="single" w:sz="24" w:space="8" w:color="166534"/>
      </w:pBdr>
      <w:spacing w:before="180" w:after="180"/>
      <w:ind w:left="227" w:right="170"/>
    </w:pPr>
    <w:rPr>
      <w:color w:val="166534"/>
    </w:rPr>
  </w:style>
  <w:style w:type="paragraph" w:customStyle="1" w:styleId="FPAdaptacion">
    <w:name w:val="FP Adaptacion"/>
    <w:basedOn w:val="Normal"/>
    <w:pPr>
      <w:shd w:fill="F5F5F4"/>
      <w:pBdr>
        <w:left w:val="single" w:sz="24" w:space="8" w:color="57534E"/>
      </w:pBdr>
      <w:spacing w:before="180" w:after="180"/>
      <w:ind w:left="227" w:right="170"/>
    </w:pPr>
    <w:rPr>
      <w:color w:val="57534E"/>
    </w:rPr>
  </w:style>
  <w:style w:type="paragraph" w:customStyle="1" w:styleId="FPMetadatos">
    <w:name w:val="FP Metadatos"/>
    <w:basedOn w:val="Normal"/>
    <w:pPr>
      <w:shd w:fill="1E40AF"/>
      <w:pBdr>
        <w:left w:val="single" w:sz="24" w:space="8" w:color="FFFFFF"/>
      </w:pBdr>
      <w:spacing w:before="180" w:after="180"/>
      <w:ind w:left="227" w:right="170"/>
    </w:pPr>
    <w:rPr>
      <w:color w:val="FFFFFF"/>
      <w:sz w:val="20"/>
    </w:rPr>
  </w:style>
  <w:style w:type="paragraph" w:customStyle="1" w:styleId="FPPaso">
    <w:name w:val="FP Paso"/>
    <w:basedOn w:val="Normal"/>
    <w:pPr>
      <w:shd w:fill="F8FAFC"/>
      <w:keepNext/>
      <w:pBdr>
        <w:left w:val="single" w:sz="24" w:space="8" w:color="1E40AF"/>
      </w:pBdr>
      <w:spacing w:before="180" w:after="180"/>
      <w:ind w:left="227" w:right="170"/>
    </w:pPr>
    <w:rPr>
      <w:b/>
      <w:color w:val="1E40AF"/>
      <w:sz w:val="23"/>
    </w:rPr>
  </w:style>
  <w:style w:type="paragraph" w:customStyle="1" w:styleId="FPCodigo">
    <w:name w:val="FP Codigo"/>
    <w:basedOn w:val="Normal"/>
    <w:pPr>
      <w:shd w:fill="0F172A"/>
      <w:pBdr>
        <w:left w:val="single" w:sz="24" w:space="8" w:color="E2E8F0"/>
      </w:pBdr>
      <w:spacing w:before="180" w:after="180" w:line="264" w:lineRule="auto"/>
      <w:ind w:left="227" w:right="170"/>
    </w:pPr>
    <w:rPr>
      <w:rFonts w:ascii="Consolas" w:hAnsi="Consolas"/>
      <w:color w:val="E2E8F0"/>
      <w:sz w:val="20"/>
    </w:rPr>
  </w:style>
  <w:style w:type="paragraph" w:customStyle="1" w:styleId="FPFigura">
    <w:name w:val="FP Figura"/>
    <w:basedOn w:val="Normal"/>
    <w:pPr>
      <w:keepNext w:val="0"/>
    </w:pPr>
    <w:rPr>
      <w:color w:val="64748B"/>
      <w:sz w:val="20"/>
    </w:rPr>
  </w:style>
  <w:style w:type="paragraph" w:customStyle="1" w:styleId="FPRespuesta">
    <w:name w:val="FP Respuesta"/>
    <w:basedOn w:val="Normal"/>
    <w:pPr>
      <w:spacing w:after="480"/>
    </w:pPr>
    <w:rPr>
      <w:sz w:val="23"/>
    </w:rPr>
  </w:style>
  <w:style w:type="character" w:customStyle="1" w:styleId="FPCodigoenlinea">
    <w:name w:val="FP Codigo en linea"/>
    <w:rPr>
      <w:rFonts w:ascii="Consolas" w:hAnsi="Consolas"/>
      <w:color w:val="DC2626"/>
      <w:shd w:fill="E2E8F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[Plan de recuperación]</dc:title>
  <dc:subject>Modelo editable de Formación Profesional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